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7F1" w:rsidRDefault="000507F1" w:rsidP="000507F1">
      <w:pPr>
        <w:spacing w:line="276" w:lineRule="auto"/>
        <w:jc w:val="center"/>
        <w:rPr>
          <w:rFonts w:asciiTheme="majorEastAsia" w:eastAsiaTheme="majorEastAsia" w:hAnsiTheme="majorEastAsia"/>
          <w:b/>
          <w:sz w:val="28"/>
          <w:szCs w:val="28"/>
        </w:rPr>
      </w:pPr>
      <w:bookmarkStart w:id="0" w:name="_Toc493496294"/>
      <w:r>
        <w:rPr>
          <w:rFonts w:asciiTheme="majorEastAsia" w:eastAsiaTheme="majorEastAsia" w:hAnsiTheme="majorEastAsia" w:hint="eastAsia"/>
          <w:b/>
          <w:sz w:val="28"/>
          <w:szCs w:val="28"/>
        </w:rPr>
        <w:t>中铁高铁电气装备股份有限公司</w:t>
      </w:r>
    </w:p>
    <w:p w:rsidR="000507F1" w:rsidRDefault="000507F1" w:rsidP="000507F1">
      <w:pPr>
        <w:spacing w:line="276" w:lineRule="auto"/>
        <w:jc w:val="center"/>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科技产业园及高新</w:t>
      </w:r>
      <w:proofErr w:type="gramStart"/>
      <w:r>
        <w:rPr>
          <w:rFonts w:asciiTheme="majorEastAsia" w:eastAsiaTheme="majorEastAsia" w:hAnsiTheme="majorEastAsia" w:hint="eastAsia"/>
          <w:b/>
          <w:sz w:val="28"/>
          <w:szCs w:val="28"/>
        </w:rPr>
        <w:t>工业园变配电</w:t>
      </w:r>
      <w:proofErr w:type="gramEnd"/>
      <w:r>
        <w:rPr>
          <w:rFonts w:asciiTheme="majorEastAsia" w:eastAsiaTheme="majorEastAsia" w:hAnsiTheme="majorEastAsia" w:hint="eastAsia"/>
          <w:b/>
          <w:sz w:val="28"/>
          <w:szCs w:val="28"/>
        </w:rPr>
        <w:t>运维托管服务</w:t>
      </w:r>
      <w:bookmarkEnd w:id="0"/>
      <w:r>
        <w:rPr>
          <w:rFonts w:asciiTheme="majorEastAsia" w:eastAsiaTheme="majorEastAsia" w:hAnsiTheme="majorEastAsia" w:hint="eastAsia"/>
          <w:b/>
          <w:sz w:val="28"/>
          <w:szCs w:val="28"/>
        </w:rPr>
        <w:t>公开竞争性谈判采购公告</w:t>
      </w:r>
    </w:p>
    <w:p w:rsidR="000507F1" w:rsidRDefault="000507F1" w:rsidP="000507F1">
      <w:pPr>
        <w:spacing w:line="276" w:lineRule="auto"/>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（谈判编号:GTDQ-TP-2021-162）</w:t>
      </w:r>
    </w:p>
    <w:p w:rsidR="000507F1" w:rsidRDefault="000507F1" w:rsidP="000507F1">
      <w:pPr>
        <w:pStyle w:val="2"/>
        <w:spacing w:line="360" w:lineRule="auto"/>
        <w:rPr>
          <w:rFonts w:asciiTheme="minorEastAsia" w:eastAsiaTheme="minorEastAsia" w:hAnsiTheme="minorEastAsia" w:hint="eastAsia"/>
          <w:sz w:val="24"/>
          <w:szCs w:val="24"/>
        </w:rPr>
      </w:pPr>
      <w:bookmarkStart w:id="1" w:name="_Toc78964626"/>
      <w:bookmarkStart w:id="2" w:name="_Toc431377288"/>
      <w:r>
        <w:rPr>
          <w:rFonts w:asciiTheme="minorEastAsia" w:eastAsiaTheme="minorEastAsia" w:hAnsiTheme="minorEastAsia" w:hint="eastAsia"/>
          <w:sz w:val="24"/>
          <w:szCs w:val="24"/>
        </w:rPr>
        <w:t>1．谈判条件</w:t>
      </w:r>
      <w:bookmarkEnd w:id="1"/>
      <w:bookmarkEnd w:id="2"/>
    </w:p>
    <w:p w:rsidR="000507F1" w:rsidRDefault="000507F1" w:rsidP="000507F1">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中铁高铁电气装备股份有限公司作为本次物资的谈判单位，谈判项目资金来自采购单位自有资金，现对科技产业园及高新</w:t>
      </w:r>
      <w:proofErr w:type="gramStart"/>
      <w:r>
        <w:rPr>
          <w:rFonts w:asciiTheme="minorEastAsia" w:eastAsiaTheme="minorEastAsia" w:hAnsiTheme="minorEastAsia" w:hint="eastAsia"/>
          <w:sz w:val="24"/>
        </w:rPr>
        <w:t>工业园变配电</w:t>
      </w:r>
      <w:proofErr w:type="gramEnd"/>
      <w:r>
        <w:rPr>
          <w:rFonts w:asciiTheme="minorEastAsia" w:eastAsiaTheme="minorEastAsia" w:hAnsiTheme="minorEastAsia" w:hint="eastAsia"/>
          <w:sz w:val="24"/>
        </w:rPr>
        <w:t>运维托管服务进行公开竞争性谈判采购。</w:t>
      </w:r>
    </w:p>
    <w:p w:rsidR="000507F1" w:rsidRDefault="000507F1" w:rsidP="000507F1">
      <w:pPr>
        <w:pStyle w:val="2"/>
        <w:spacing w:line="360" w:lineRule="auto"/>
        <w:rPr>
          <w:rFonts w:asciiTheme="minorEastAsia" w:eastAsiaTheme="minorEastAsia" w:hAnsiTheme="minorEastAsia" w:hint="eastAsia"/>
          <w:sz w:val="24"/>
          <w:szCs w:val="24"/>
        </w:rPr>
      </w:pPr>
      <w:bookmarkStart w:id="3" w:name="_Toc78964627"/>
      <w:r>
        <w:rPr>
          <w:rFonts w:asciiTheme="minorEastAsia" w:eastAsiaTheme="minorEastAsia" w:hAnsiTheme="minorEastAsia" w:hint="eastAsia"/>
          <w:sz w:val="24"/>
          <w:szCs w:val="24"/>
        </w:rPr>
        <w:t>2．项目概况与谈判内容</w:t>
      </w:r>
      <w:bookmarkEnd w:id="3"/>
    </w:p>
    <w:p w:rsidR="000507F1" w:rsidRDefault="000507F1" w:rsidP="000507F1">
      <w:pPr>
        <w:pStyle w:val="a5"/>
        <w:spacing w:line="360" w:lineRule="auto"/>
        <w:ind w:firstLine="487"/>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2.1项目概况：</w:t>
      </w:r>
    </w:p>
    <w:p w:rsidR="000507F1" w:rsidRDefault="000507F1" w:rsidP="000507F1">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本单位地址为陕西省宝鸡市高新大道196号，采购单位注册资本贰亿捌仟贰佰壹拾捌万玖仟玖佰壹拾叁元，经营范围为铁路电气化接触网系统设备、城市轨道交通供电</w:t>
      </w:r>
      <w:bookmarkStart w:id="4" w:name="_GoBack"/>
      <w:bookmarkEnd w:id="4"/>
      <w:r>
        <w:rPr>
          <w:rFonts w:asciiTheme="minorEastAsia" w:eastAsiaTheme="minorEastAsia" w:hAnsiTheme="minorEastAsia" w:hint="eastAsia"/>
          <w:sz w:val="24"/>
        </w:rPr>
        <w:t>系统设备等设计、制造、销售和服务，现因生产需要，对科技产业园及高新</w:t>
      </w:r>
      <w:proofErr w:type="gramStart"/>
      <w:r>
        <w:rPr>
          <w:rFonts w:asciiTheme="minorEastAsia" w:eastAsiaTheme="minorEastAsia" w:hAnsiTheme="minorEastAsia" w:hint="eastAsia"/>
          <w:sz w:val="24"/>
        </w:rPr>
        <w:t>工业园变配电</w:t>
      </w:r>
      <w:proofErr w:type="gramEnd"/>
      <w:r>
        <w:rPr>
          <w:rFonts w:asciiTheme="minorEastAsia" w:eastAsiaTheme="minorEastAsia" w:hAnsiTheme="minorEastAsia" w:hint="eastAsia"/>
          <w:sz w:val="24"/>
        </w:rPr>
        <w:t>运维托管服务进行谈判采购。</w:t>
      </w:r>
    </w:p>
    <w:p w:rsidR="000507F1" w:rsidRDefault="000507F1" w:rsidP="000507F1">
      <w:pPr>
        <w:pStyle w:val="a5"/>
        <w:spacing w:line="360" w:lineRule="auto"/>
        <w:ind w:firstLine="487"/>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2.2谈判内容：</w:t>
      </w:r>
    </w:p>
    <w:p w:rsidR="000507F1" w:rsidRDefault="000507F1" w:rsidP="000507F1">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具体服务名称、规格、数量、包件划分等情况详见附件1《中铁高铁电气装备股份有限公司科技产业园及高新工业园变配电运维托管服务采购谈判需求一览表》。</w:t>
      </w:r>
    </w:p>
    <w:p w:rsidR="000507F1" w:rsidRDefault="000507F1" w:rsidP="000507F1">
      <w:pPr>
        <w:pStyle w:val="2"/>
        <w:spacing w:line="360" w:lineRule="auto"/>
        <w:rPr>
          <w:rFonts w:asciiTheme="minorEastAsia" w:eastAsiaTheme="minorEastAsia" w:hAnsiTheme="minorEastAsia" w:hint="eastAsia"/>
          <w:sz w:val="24"/>
          <w:szCs w:val="24"/>
        </w:rPr>
      </w:pPr>
      <w:bookmarkStart w:id="5" w:name="_Toc78964628"/>
      <w:r>
        <w:rPr>
          <w:rFonts w:asciiTheme="minorEastAsia" w:eastAsiaTheme="minorEastAsia" w:hAnsiTheme="minorEastAsia" w:hint="eastAsia"/>
          <w:sz w:val="24"/>
          <w:szCs w:val="24"/>
        </w:rPr>
        <w:t>3．投标人资格要求</w:t>
      </w:r>
      <w:bookmarkEnd w:id="5"/>
    </w:p>
    <w:p w:rsidR="000507F1" w:rsidRDefault="000507F1" w:rsidP="000507F1">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3.1本次谈判对投标人资格的基本要求：</w:t>
      </w:r>
    </w:p>
    <w:p w:rsidR="000507F1" w:rsidRDefault="000507F1" w:rsidP="000507F1">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本次招标对投标人资格的基本要求：</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1）在中华人民共和国境内依法工商注册、持有效的营业执照、能开具所提供变配电运维托管服务相应的增值税专用发票。</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2）遵守国家法律法规和中铁电气化局集团、中铁电气工业公司和中铁高铁电气装备股份有限公司有关规定。</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3）具备必要的变配电运维托管服务履行合同的能力和履行合同的良好记录。</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4）提供的变配电运维托管服务符合国家、行业或企业的技术、安全和环境保护的标准；</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5）具有良好的服务质量保证和售后服务能力；</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6）具有法律法规规定的其它条件。</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7）本次招标不接受联合体投标。</w:t>
      </w:r>
    </w:p>
    <w:p w:rsidR="000507F1" w:rsidRDefault="000507F1" w:rsidP="000507F1">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hint="eastAsia"/>
          <w:b/>
          <w:bCs/>
          <w:sz w:val="24"/>
        </w:rPr>
        <w:t>4．谈判文件的获取</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4.1本次谈判文件采用电子版方式及线下发售。</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lastRenderedPageBreak/>
        <w:t>潜在投标人在线下购买谈判文件时间、地点：请凭本招标公告于北京时间  2021 年 8月4日-2021年8月6日（上午9：00时至12:00时、下午13:30至16:00时）前到中铁高铁电气装备股份有限公司（陕西省宝鸡市高新大道196号）购买谈判文件。</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谈判文件每套售价（见附表），谈判文件售后不退，不接受现金和个人汇款。</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4.2凡有意参加的潜在投标人，请于北京时间  2021年 8月6日 16 时前将填写完整的《谈判申请表》（见公告附件2）签字并加盖公章后的扫描版、汇款凭证扫描版发送至邮箱zb@bjqcc.com。</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发售谈判文件的时间：2021年8月4日 至 2021 年8月 6日。</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 xml:space="preserve">投标人根据所购买包件售价，将标书费用足额汇至招标人指定账户。招标人收到汇款信息并核实后，谈判文件以电子邮件的方式发送至投标人邮箱并下载。 </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开户名称：中铁高铁电气装备股份有限公司</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帐  号：6100 1628 7080 5000 0037</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开户银行：建行宝鸡金台区支行</w:t>
      </w:r>
    </w:p>
    <w:p w:rsidR="000507F1" w:rsidRDefault="000507F1" w:rsidP="000507F1">
      <w:pPr>
        <w:widowControl/>
        <w:shd w:val="clear" w:color="auto" w:fill="FFFFFF"/>
        <w:spacing w:line="360" w:lineRule="auto"/>
        <w:ind w:firstLineChars="150" w:firstLine="361"/>
        <w:jc w:val="left"/>
        <w:rPr>
          <w:rFonts w:asciiTheme="minorEastAsia" w:eastAsiaTheme="minorEastAsia" w:hAnsiTheme="minorEastAsia" w:cs="宋体" w:hint="eastAsia"/>
          <w:b/>
          <w:kern w:val="0"/>
          <w:sz w:val="24"/>
        </w:rPr>
      </w:pPr>
      <w:r>
        <w:rPr>
          <w:rFonts w:asciiTheme="minorEastAsia" w:eastAsiaTheme="minorEastAsia" w:hAnsiTheme="minorEastAsia" w:cs="宋体" w:hint="eastAsia"/>
          <w:b/>
          <w:color w:val="000000"/>
          <w:kern w:val="0"/>
          <w:sz w:val="24"/>
        </w:rPr>
        <w:t>投标人须在汇款凭证上注明谈判编号及包件号。(标书</w:t>
      </w:r>
      <w:proofErr w:type="gramStart"/>
      <w:r>
        <w:rPr>
          <w:rFonts w:asciiTheme="minorEastAsia" w:eastAsiaTheme="minorEastAsia" w:hAnsiTheme="minorEastAsia" w:cs="宋体" w:hint="eastAsia"/>
          <w:b/>
          <w:color w:val="000000"/>
          <w:kern w:val="0"/>
          <w:sz w:val="24"/>
        </w:rPr>
        <w:t>费公司</w:t>
      </w:r>
      <w:proofErr w:type="gramEnd"/>
      <w:r>
        <w:rPr>
          <w:rFonts w:asciiTheme="minorEastAsia" w:eastAsiaTheme="minorEastAsia" w:hAnsiTheme="minorEastAsia" w:cs="宋体" w:hint="eastAsia"/>
          <w:b/>
          <w:color w:val="000000"/>
          <w:kern w:val="0"/>
          <w:sz w:val="24"/>
        </w:rPr>
        <w:t>可开具收据，不提供发票)</w:t>
      </w:r>
    </w:p>
    <w:p w:rsidR="000507F1" w:rsidRDefault="000507F1" w:rsidP="000507F1">
      <w:pPr>
        <w:widowControl/>
        <w:shd w:val="clear" w:color="auto" w:fill="FFFFFF"/>
        <w:spacing w:line="360" w:lineRule="auto"/>
        <w:jc w:val="left"/>
        <w:rPr>
          <w:rFonts w:asciiTheme="minorEastAsia" w:eastAsiaTheme="minorEastAsia" w:hAnsiTheme="minorEastAsia" w:hint="eastAsia"/>
          <w:b/>
          <w:bCs/>
          <w:sz w:val="24"/>
        </w:rPr>
      </w:pPr>
      <w:r>
        <w:rPr>
          <w:rFonts w:asciiTheme="minorEastAsia" w:eastAsiaTheme="minorEastAsia" w:hAnsiTheme="minorEastAsia" w:hint="eastAsia"/>
          <w:b/>
          <w:bCs/>
          <w:sz w:val="24"/>
        </w:rPr>
        <w:t>5．谈判文件的递交</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5.1投标文件递交时间：2021年 8月12日 9 时 00分至 9 时 30分，</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递交投标文件截止时间：（投标截止时间，下同）2021年 8月12日 9 时 30分。</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递交地点：中铁高铁电气装备股份有限公司 514室</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5.2本次谈判采用公开竞争性谈判的方式进行，投标人需按谈判文件要求于开标前现场递交纸制版投标文件。</w:t>
      </w:r>
    </w:p>
    <w:p w:rsidR="000507F1" w:rsidRDefault="000507F1" w:rsidP="000507F1">
      <w:pPr>
        <w:pStyle w:val="a5"/>
        <w:spacing w:line="360" w:lineRule="auto"/>
        <w:ind w:firstLine="485"/>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5.3逾期送达的或者未送达指定地点的投标文件，采购人不予受理。</w:t>
      </w:r>
    </w:p>
    <w:p w:rsidR="000507F1" w:rsidRDefault="000507F1" w:rsidP="000507F1">
      <w:pPr>
        <w:widowControl/>
        <w:shd w:val="clear" w:color="auto" w:fill="FFFFFF"/>
        <w:snapToGrid w:val="0"/>
        <w:spacing w:line="360" w:lineRule="auto"/>
        <w:jc w:val="left"/>
        <w:rPr>
          <w:rFonts w:asciiTheme="minorEastAsia" w:eastAsiaTheme="minorEastAsia" w:hAnsiTheme="minorEastAsia" w:hint="eastAsia"/>
          <w:b/>
          <w:bCs/>
          <w:sz w:val="24"/>
        </w:rPr>
      </w:pPr>
      <w:r>
        <w:rPr>
          <w:rFonts w:asciiTheme="minorEastAsia" w:eastAsiaTheme="minorEastAsia" w:hAnsiTheme="minorEastAsia" w:hint="eastAsia"/>
          <w:b/>
          <w:bCs/>
          <w:sz w:val="24"/>
        </w:rPr>
        <w:t>6．发布公告的媒介</w:t>
      </w:r>
    </w:p>
    <w:p w:rsidR="000507F1" w:rsidRDefault="000507F1" w:rsidP="000507F1">
      <w:pPr>
        <w:widowControl/>
        <w:shd w:val="clear" w:color="auto" w:fill="FFFFFF"/>
        <w:snapToGrid w:val="0"/>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本次谈判公告在中铁高铁电气装备股份有限公司网站/www.bjqcc.com/cn/发布。</w:t>
      </w:r>
    </w:p>
    <w:p w:rsidR="000507F1" w:rsidRDefault="000507F1" w:rsidP="000507F1">
      <w:pPr>
        <w:widowControl/>
        <w:shd w:val="clear" w:color="auto" w:fill="FFFFFF"/>
        <w:snapToGrid w:val="0"/>
        <w:spacing w:line="360" w:lineRule="auto"/>
        <w:jc w:val="left"/>
        <w:rPr>
          <w:rFonts w:asciiTheme="minorEastAsia" w:eastAsiaTheme="minorEastAsia" w:hAnsiTheme="minorEastAsia" w:hint="eastAsia"/>
          <w:sz w:val="24"/>
        </w:rPr>
      </w:pPr>
      <w:r>
        <w:rPr>
          <w:rFonts w:asciiTheme="minorEastAsia" w:eastAsiaTheme="minorEastAsia" w:hAnsiTheme="minorEastAsia" w:hint="eastAsia"/>
          <w:b/>
          <w:bCs/>
          <w:sz w:val="24"/>
        </w:rPr>
        <w:t>7．联系方式</w:t>
      </w:r>
    </w:p>
    <w:p w:rsidR="000507F1" w:rsidRDefault="000507F1" w:rsidP="000507F1">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招 标 人：中铁高铁电气装备股份有限公司</w:t>
      </w:r>
    </w:p>
    <w:p w:rsidR="000507F1" w:rsidRDefault="000507F1" w:rsidP="000507F1">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地    址：陕西省宝鸡市高新大道196号</w:t>
      </w:r>
    </w:p>
    <w:p w:rsidR="000507F1" w:rsidRDefault="000507F1" w:rsidP="000507F1">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联 系 人：宋军</w:t>
      </w:r>
    </w:p>
    <w:p w:rsidR="000507F1" w:rsidRDefault="000507F1" w:rsidP="000507F1">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电    话：0917-2829172</w:t>
      </w:r>
    </w:p>
    <w:p w:rsidR="000507F1" w:rsidRDefault="000507F1" w:rsidP="000507F1">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电子邮箱：</w:t>
      </w:r>
      <w:hyperlink r:id="rId6" w:history="1">
        <w:r>
          <w:rPr>
            <w:rStyle w:val="a3"/>
            <w:rFonts w:asciiTheme="minorEastAsia" w:eastAsiaTheme="minorEastAsia" w:hAnsiTheme="minorEastAsia" w:hint="eastAsia"/>
            <w:sz w:val="24"/>
          </w:rPr>
          <w:t>zb@bjqcc.com</w:t>
        </w:r>
      </w:hyperlink>
    </w:p>
    <w:p w:rsidR="000507F1" w:rsidRDefault="000507F1" w:rsidP="000507F1">
      <w:pPr>
        <w:widowControl/>
        <w:spacing w:line="360" w:lineRule="auto"/>
        <w:jc w:val="left"/>
        <w:rPr>
          <w:rFonts w:asciiTheme="minorEastAsia" w:eastAsiaTheme="minorEastAsia" w:hAnsiTheme="minorEastAsia"/>
          <w:color w:val="000000"/>
          <w:kern w:val="0"/>
          <w:sz w:val="24"/>
        </w:rPr>
        <w:sectPr w:rsidR="000507F1">
          <w:pgSz w:w="11906" w:h="16838"/>
          <w:pgMar w:top="1134" w:right="1077" w:bottom="1134" w:left="1077" w:header="851" w:footer="992" w:gutter="0"/>
          <w:cols w:space="720"/>
          <w:docGrid w:type="lines" w:linePitch="312"/>
        </w:sectPr>
      </w:pPr>
    </w:p>
    <w:p w:rsidR="000507F1" w:rsidRDefault="000507F1" w:rsidP="000507F1">
      <w:pPr>
        <w:pStyle w:val="2"/>
        <w:spacing w:line="276" w:lineRule="auto"/>
        <w:rPr>
          <w:rFonts w:ascii="宋体" w:hAnsi="宋体" w:cs="宋体" w:hint="eastAsia"/>
          <w:color w:val="000000"/>
          <w:sz w:val="18"/>
          <w:szCs w:val="18"/>
        </w:rPr>
      </w:pPr>
      <w:bookmarkStart w:id="6" w:name="_Toc78964629"/>
      <w:bookmarkStart w:id="7" w:name="_Toc33450686"/>
      <w:bookmarkStart w:id="8" w:name="_Hlk29211168"/>
      <w:r>
        <w:rPr>
          <w:rFonts w:ascii="宋体" w:hAnsi="宋体" w:cs="宋体" w:hint="eastAsia"/>
          <w:color w:val="000000"/>
          <w:sz w:val="18"/>
          <w:szCs w:val="18"/>
        </w:rPr>
        <w:lastRenderedPageBreak/>
        <w:t>附件1</w:t>
      </w:r>
      <w:bookmarkEnd w:id="6"/>
      <w:bookmarkEnd w:id="7"/>
      <w:r>
        <w:rPr>
          <w:rFonts w:ascii="宋体" w:hAnsi="宋体" w:cs="宋体" w:hint="eastAsia"/>
          <w:color w:val="000000"/>
          <w:sz w:val="18"/>
          <w:szCs w:val="18"/>
        </w:rPr>
        <w:t xml:space="preserve"> </w:t>
      </w:r>
    </w:p>
    <w:p w:rsidR="000507F1" w:rsidRDefault="000507F1" w:rsidP="000507F1">
      <w:pPr>
        <w:rPr>
          <w:rFonts w:hint="eastAsia"/>
        </w:rPr>
      </w:pPr>
      <w:r>
        <w:rPr>
          <w:rFonts w:ascii="宋体" w:hAnsi="宋体" w:cs="Arial" w:hint="eastAsia"/>
          <w:kern w:val="0"/>
          <w:szCs w:val="21"/>
        </w:rPr>
        <w:t>高铁电气科技产业园及高新</w:t>
      </w:r>
      <w:proofErr w:type="gramStart"/>
      <w:r>
        <w:rPr>
          <w:rFonts w:ascii="宋体" w:hAnsi="宋体" w:cs="Arial" w:hint="eastAsia"/>
          <w:kern w:val="0"/>
          <w:szCs w:val="21"/>
        </w:rPr>
        <w:t>工业园变配电</w:t>
      </w:r>
      <w:proofErr w:type="gramEnd"/>
      <w:r>
        <w:rPr>
          <w:rFonts w:ascii="宋体" w:hAnsi="宋体" w:cs="Arial" w:hint="eastAsia"/>
          <w:kern w:val="0"/>
          <w:szCs w:val="21"/>
        </w:rPr>
        <w:t xml:space="preserve">运维托管服务需求一览表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2410"/>
        <w:gridCol w:w="708"/>
        <w:gridCol w:w="729"/>
        <w:gridCol w:w="717"/>
        <w:gridCol w:w="900"/>
        <w:gridCol w:w="6301"/>
        <w:gridCol w:w="915"/>
      </w:tblGrid>
      <w:tr w:rsidR="000507F1" w:rsidTr="000507F1">
        <w:trPr>
          <w:trHeight w:val="469"/>
        </w:trPr>
        <w:tc>
          <w:tcPr>
            <w:tcW w:w="993"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包件号</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序号</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内容名称</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规格</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单位</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数量</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时间</w:t>
            </w:r>
          </w:p>
        </w:tc>
        <w:tc>
          <w:tcPr>
            <w:tcW w:w="6301"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szCs w:val="21"/>
              </w:rPr>
              <w:t>投标人专业资格要求</w:t>
            </w:r>
          </w:p>
        </w:tc>
        <w:tc>
          <w:tcPr>
            <w:tcW w:w="915"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标书费</w:t>
            </w:r>
          </w:p>
        </w:tc>
      </w:tr>
      <w:tr w:rsidR="000507F1" w:rsidTr="000507F1">
        <w:trPr>
          <w:trHeight w:val="2561"/>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507F1" w:rsidRDefault="000507F1">
            <w:pPr>
              <w:jc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Cs w:val="21"/>
              </w:rPr>
              <w:t>01</w:t>
            </w:r>
          </w:p>
        </w:tc>
        <w:tc>
          <w:tcPr>
            <w:tcW w:w="709" w:type="dxa"/>
            <w:tcBorders>
              <w:top w:val="single" w:sz="4" w:space="0" w:color="auto"/>
              <w:left w:val="single" w:sz="4" w:space="0" w:color="auto"/>
              <w:bottom w:val="single" w:sz="4" w:space="0" w:color="auto"/>
              <w:right w:val="single" w:sz="4" w:space="0" w:color="auto"/>
            </w:tcBorders>
            <w:noWrap/>
            <w:vAlign w:val="center"/>
          </w:tcPr>
          <w:p w:rsidR="000507F1" w:rsidRDefault="000507F1" w:rsidP="00D22000">
            <w:pPr>
              <w:numPr>
                <w:ilvl w:val="0"/>
                <w:numId w:val="1"/>
              </w:numPr>
              <w:jc w:val="center"/>
              <w:rPr>
                <w:rFonts w:asciiTheme="minorEastAsia" w:eastAsiaTheme="minorEastAsia" w:hAnsiTheme="minorEastAsia" w:cs="宋体"/>
                <w:color w:val="000000"/>
                <w:kern w:val="0"/>
                <w:szCs w:val="21"/>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olor w:val="000000"/>
                <w:szCs w:val="21"/>
              </w:rPr>
            </w:pPr>
            <w:r>
              <w:rPr>
                <w:rFonts w:asciiTheme="minorEastAsia" w:eastAsiaTheme="minorEastAsia" w:hAnsiTheme="minorEastAsia" w:cs="宋体" w:hint="eastAsia"/>
                <w:color w:val="000000"/>
                <w:kern w:val="0"/>
                <w:szCs w:val="21"/>
              </w:rPr>
              <w:t>科技产业园10kV配电室、紧固件及单轨厂房配电室、铝合金铸造厂房配电室共计3个</w:t>
            </w:r>
            <w:proofErr w:type="gramStart"/>
            <w:r>
              <w:rPr>
                <w:rFonts w:asciiTheme="minorEastAsia" w:eastAsiaTheme="minorEastAsia" w:hAnsiTheme="minorEastAsia" w:cs="宋体" w:hint="eastAsia"/>
                <w:color w:val="000000"/>
                <w:kern w:val="0"/>
                <w:szCs w:val="21"/>
              </w:rPr>
              <w:t>配电室运维</w:t>
            </w:r>
            <w:proofErr w:type="gramEnd"/>
            <w:r>
              <w:rPr>
                <w:rFonts w:asciiTheme="minorEastAsia" w:eastAsiaTheme="minorEastAsia" w:hAnsiTheme="minorEastAsia" w:cs="宋体" w:hint="eastAsia"/>
                <w:color w:val="000000"/>
                <w:kern w:val="0"/>
                <w:szCs w:val="21"/>
              </w:rPr>
              <w:t>托管服务</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次</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年</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按中标后合同约定执行</w:t>
            </w:r>
          </w:p>
        </w:tc>
        <w:tc>
          <w:tcPr>
            <w:tcW w:w="6301" w:type="dxa"/>
            <w:vMerge w:val="restart"/>
            <w:tcBorders>
              <w:top w:val="single" w:sz="4" w:space="0" w:color="auto"/>
              <w:left w:val="single" w:sz="4" w:space="0" w:color="auto"/>
              <w:bottom w:val="single" w:sz="4" w:space="0" w:color="auto"/>
              <w:right w:val="single" w:sz="4" w:space="0" w:color="auto"/>
            </w:tcBorders>
            <w:noWrap/>
            <w:vAlign w:val="center"/>
            <w:hideMark/>
          </w:tcPr>
          <w:p w:rsidR="000507F1" w:rsidRDefault="000507F1">
            <w:pPr>
              <w:pStyle w:val="a4"/>
              <w:spacing w:before="0" w:beforeAutospacing="0" w:after="0" w:afterAutospacing="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1.资格条件要求：投标人必须有中华人民共和国住房和城乡建设部颁发的输变电工</w:t>
            </w:r>
            <w:proofErr w:type="gramStart"/>
            <w:r>
              <w:rPr>
                <w:rFonts w:asciiTheme="minorEastAsia" w:eastAsiaTheme="minorEastAsia" w:hAnsiTheme="minorEastAsia" w:hint="eastAsia"/>
                <w:kern w:val="2"/>
                <w:sz w:val="21"/>
                <w:szCs w:val="21"/>
              </w:rPr>
              <w:t>程专业</w:t>
            </w:r>
            <w:proofErr w:type="gramEnd"/>
            <w:r>
              <w:rPr>
                <w:rFonts w:asciiTheme="minorEastAsia" w:eastAsiaTheme="minorEastAsia" w:hAnsiTheme="minorEastAsia" w:hint="eastAsia"/>
                <w:kern w:val="2"/>
                <w:sz w:val="21"/>
                <w:szCs w:val="21"/>
              </w:rPr>
              <w:t>承包资质（三级及以上）及国家电力监管委员会颁发的承装（修、试）电力设施许可证（四级及以上）资质，营业执照中包含变配电设备运维等相关业务。</w:t>
            </w:r>
          </w:p>
          <w:p w:rsidR="000507F1" w:rsidRDefault="000507F1">
            <w:pPr>
              <w:widowControl/>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2.质量保证能力要求：投标人提供的运维托管服务方满足的标准规范包括但不限于：《GB/T 37546-2019 无人值守变电站监控系统技术规范》、《DL408-91 电业安全工作规程》以及《变配电室安全管理规范》（DB11/527-2015）等文件规定；运维托管服务方应配备1名项目经理，不低于3名的现场作业人员，运维团队成员均须具有有效期内的高压类电工进网作业许可证或特种作业操作证（电工）（含低压电工作业和高压电工作业）且证书在有效期内，作业人员必须配备社保，且购买不低于100万的意外伤害险。</w:t>
            </w:r>
          </w:p>
          <w:p w:rsidR="000507F1" w:rsidRDefault="000507F1">
            <w:pPr>
              <w:widowControl/>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3.财务能力要求：投标人注册资金不少于1000万元人民币，具有良好的社会信誉和财务状况。</w:t>
            </w:r>
          </w:p>
          <w:p w:rsidR="000507F1" w:rsidRDefault="000507F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hint="eastAsia"/>
                <w:szCs w:val="21"/>
              </w:rPr>
              <w:t>4.工程业绩：2019年-2020年具有良好的宝鸡地区工业用户变配电运维托管服务业绩（提供采购合同或发票复印件，原件备查）。</w:t>
            </w:r>
          </w:p>
        </w:tc>
        <w:tc>
          <w:tcPr>
            <w:tcW w:w="915" w:type="dxa"/>
            <w:vMerge w:val="restart"/>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w:t>
            </w:r>
          </w:p>
        </w:tc>
      </w:tr>
      <w:tr w:rsidR="000507F1" w:rsidTr="000507F1">
        <w:trPr>
          <w:trHeight w:val="62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507F1" w:rsidRDefault="000507F1">
            <w:pPr>
              <w:widowControl/>
              <w:jc w:val="left"/>
              <w:rPr>
                <w:rFonts w:asciiTheme="minorEastAsia" w:eastAsiaTheme="minorEastAsia" w:hAnsiTheme="minorEastAsia"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507F1" w:rsidRDefault="000507F1" w:rsidP="00D22000">
            <w:pPr>
              <w:numPr>
                <w:ilvl w:val="0"/>
                <w:numId w:val="1"/>
              </w:numPr>
              <w:jc w:val="center"/>
              <w:rPr>
                <w:rFonts w:asciiTheme="minorEastAsia" w:eastAsiaTheme="minorEastAsia" w:hAnsiTheme="minorEastAsia" w:cs="宋体"/>
                <w:szCs w:val="21"/>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widowControl/>
              <w:jc w:val="center"/>
              <w:rPr>
                <w:rFonts w:asciiTheme="minorEastAsia" w:eastAsiaTheme="minorEastAsia" w:hAnsiTheme="minorEastAsia"/>
                <w:color w:val="000000"/>
                <w:szCs w:val="21"/>
              </w:rPr>
            </w:pPr>
            <w:r>
              <w:rPr>
                <w:rFonts w:asciiTheme="minorEastAsia" w:eastAsiaTheme="minorEastAsia" w:hAnsiTheme="minorEastAsia" w:cs="宋体" w:hint="eastAsia"/>
                <w:color w:val="000000"/>
                <w:kern w:val="0"/>
                <w:szCs w:val="21"/>
              </w:rPr>
              <w:t>高新工业园10kV</w:t>
            </w:r>
            <w:proofErr w:type="gramStart"/>
            <w:r>
              <w:rPr>
                <w:rFonts w:asciiTheme="minorEastAsia" w:eastAsiaTheme="minorEastAsia" w:hAnsiTheme="minorEastAsia" w:cs="宋体" w:hint="eastAsia"/>
                <w:color w:val="000000"/>
                <w:kern w:val="0"/>
                <w:szCs w:val="21"/>
              </w:rPr>
              <w:t>配电室运维</w:t>
            </w:r>
            <w:proofErr w:type="gramEnd"/>
            <w:r>
              <w:rPr>
                <w:rFonts w:asciiTheme="minorEastAsia" w:eastAsiaTheme="minorEastAsia" w:hAnsiTheme="minorEastAsia" w:cs="宋体" w:hint="eastAsia"/>
                <w:color w:val="000000"/>
                <w:kern w:val="0"/>
                <w:szCs w:val="21"/>
              </w:rPr>
              <w:t>托管服务</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次</w:t>
            </w:r>
          </w:p>
        </w:tc>
        <w:tc>
          <w:tcPr>
            <w:tcW w:w="729"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年</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507F1" w:rsidRDefault="000507F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507F1" w:rsidRDefault="000507F1">
            <w:pPr>
              <w:widowControl/>
              <w:jc w:val="left"/>
              <w:rPr>
                <w:rFonts w:asciiTheme="minorEastAsia" w:eastAsiaTheme="minorEastAsia" w:hAnsiTheme="minorEastAsia" w:cs="宋体"/>
                <w:color w:val="000000"/>
                <w:kern w:val="0"/>
                <w:szCs w:val="21"/>
              </w:rPr>
            </w:pPr>
          </w:p>
        </w:tc>
        <w:tc>
          <w:tcPr>
            <w:tcW w:w="6301" w:type="dxa"/>
            <w:vMerge/>
            <w:tcBorders>
              <w:top w:val="single" w:sz="4" w:space="0" w:color="auto"/>
              <w:left w:val="single" w:sz="4" w:space="0" w:color="auto"/>
              <w:bottom w:val="single" w:sz="4" w:space="0" w:color="auto"/>
              <w:right w:val="single" w:sz="4" w:space="0" w:color="auto"/>
            </w:tcBorders>
            <w:vAlign w:val="center"/>
            <w:hideMark/>
          </w:tcPr>
          <w:p w:rsidR="000507F1" w:rsidRDefault="000507F1">
            <w:pPr>
              <w:widowControl/>
              <w:jc w:val="left"/>
              <w:rPr>
                <w:rFonts w:asciiTheme="minorEastAsia" w:eastAsiaTheme="minorEastAsia" w:hAnsiTheme="minorEastAsia" w:cs="宋体"/>
                <w:color w:val="000000"/>
                <w:kern w:val="0"/>
                <w:szCs w:val="21"/>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0507F1" w:rsidRDefault="000507F1">
            <w:pPr>
              <w:widowControl/>
              <w:jc w:val="left"/>
              <w:rPr>
                <w:rFonts w:asciiTheme="minorEastAsia" w:eastAsiaTheme="minorEastAsia" w:hAnsiTheme="minorEastAsia" w:cs="宋体"/>
                <w:color w:val="000000"/>
                <w:kern w:val="0"/>
                <w:szCs w:val="21"/>
              </w:rPr>
            </w:pPr>
          </w:p>
        </w:tc>
      </w:tr>
    </w:tbl>
    <w:p w:rsidR="000507F1" w:rsidRDefault="000507F1" w:rsidP="000507F1">
      <w:pPr>
        <w:rPr>
          <w:rFonts w:ascii="宋体" w:cs="宋体"/>
          <w:b/>
          <w:bCs/>
          <w:kern w:val="0"/>
          <w:szCs w:val="21"/>
        </w:rPr>
      </w:pPr>
      <w:r>
        <w:rPr>
          <w:rFonts w:ascii="宋体" w:hAnsi="宋体" w:cs="宋体" w:hint="eastAsia"/>
          <w:b/>
          <w:bCs/>
          <w:kern w:val="0"/>
          <w:szCs w:val="21"/>
        </w:rPr>
        <w:t>说明：1、上表内数量为采购数量，中标后根据采购数量结算。</w:t>
      </w:r>
    </w:p>
    <w:p w:rsidR="000507F1" w:rsidRDefault="000507F1" w:rsidP="000507F1">
      <w:pPr>
        <w:ind w:firstLineChars="300" w:firstLine="632"/>
        <w:rPr>
          <w:rFonts w:ascii="宋体" w:hAnsi="宋体" w:cs="宋体" w:hint="eastAsia"/>
          <w:b/>
          <w:bCs/>
          <w:kern w:val="0"/>
          <w:szCs w:val="21"/>
        </w:rPr>
      </w:pPr>
      <w:r>
        <w:rPr>
          <w:rFonts w:ascii="宋体" w:hAnsi="宋体" w:cs="宋体" w:hint="eastAsia"/>
          <w:b/>
          <w:bCs/>
          <w:kern w:val="0"/>
          <w:szCs w:val="21"/>
        </w:rPr>
        <w:t>2、各投标单位须按照以上清单序号、内容名称、规格、数量分别报价。</w:t>
      </w:r>
    </w:p>
    <w:p w:rsidR="000507F1" w:rsidRDefault="000507F1" w:rsidP="000507F1">
      <w:pPr>
        <w:ind w:firstLineChars="300" w:firstLine="632"/>
        <w:rPr>
          <w:rFonts w:ascii="宋体" w:hAnsi="宋体" w:hint="eastAsia"/>
          <w:b/>
          <w:szCs w:val="21"/>
        </w:rPr>
      </w:pPr>
    </w:p>
    <w:p w:rsidR="000507F1" w:rsidRDefault="000507F1" w:rsidP="000507F1">
      <w:pPr>
        <w:ind w:firstLineChars="294" w:firstLine="620"/>
        <w:rPr>
          <w:rFonts w:ascii="宋体" w:hAnsi="宋体" w:hint="eastAsia"/>
          <w:b/>
          <w:szCs w:val="21"/>
        </w:rPr>
      </w:pPr>
    </w:p>
    <w:p w:rsidR="000507F1" w:rsidRDefault="000507F1" w:rsidP="000507F1">
      <w:pPr>
        <w:spacing w:line="276" w:lineRule="auto"/>
        <w:rPr>
          <w:rFonts w:ascii="宋体" w:hAnsi="宋体" w:hint="eastAsia"/>
          <w:szCs w:val="21"/>
        </w:rPr>
      </w:pPr>
      <w:r>
        <w:rPr>
          <w:rFonts w:ascii="宋体" w:hAnsi="宋体" w:hint="eastAsia"/>
          <w:b/>
          <w:szCs w:val="21"/>
        </w:rPr>
        <w:t xml:space="preserve"> </w:t>
      </w:r>
      <w:r>
        <w:t xml:space="preserve">     </w:t>
      </w:r>
    </w:p>
    <w:p w:rsidR="000507F1" w:rsidRDefault="000507F1" w:rsidP="000507F1">
      <w:pPr>
        <w:widowControl/>
        <w:spacing w:line="276" w:lineRule="auto"/>
        <w:jc w:val="left"/>
        <w:rPr>
          <w:rFonts w:ascii="宋体" w:hAnsi="宋体"/>
          <w:kern w:val="0"/>
          <w:szCs w:val="21"/>
        </w:rPr>
        <w:sectPr w:rsidR="000507F1">
          <w:pgSz w:w="16838" w:h="11906" w:orient="landscape"/>
          <w:pgMar w:top="1440" w:right="1080" w:bottom="1440" w:left="1080" w:header="851" w:footer="794" w:gutter="0"/>
          <w:cols w:space="720"/>
          <w:docGrid w:type="lines" w:linePitch="312"/>
        </w:sectPr>
      </w:pPr>
    </w:p>
    <w:p w:rsidR="000507F1" w:rsidRDefault="000507F1" w:rsidP="000507F1">
      <w:pPr>
        <w:pStyle w:val="2"/>
        <w:spacing w:line="276" w:lineRule="auto"/>
        <w:rPr>
          <w:rFonts w:ascii="宋体" w:hAnsi="宋体" w:cs="宋体" w:hint="eastAsia"/>
          <w:color w:val="000000"/>
          <w:sz w:val="18"/>
          <w:szCs w:val="18"/>
        </w:rPr>
      </w:pPr>
      <w:bookmarkStart w:id="9" w:name="_Toc78964630"/>
      <w:bookmarkStart w:id="10" w:name="_Toc33450687"/>
      <w:bookmarkStart w:id="11" w:name="_Toc7424"/>
      <w:bookmarkStart w:id="12" w:name="_Toc450287122"/>
      <w:bookmarkEnd w:id="8"/>
      <w:r>
        <w:rPr>
          <w:rFonts w:ascii="宋体" w:hAnsi="宋体" w:cs="宋体" w:hint="eastAsia"/>
          <w:color w:val="000000"/>
          <w:sz w:val="18"/>
          <w:szCs w:val="18"/>
        </w:rPr>
        <w:lastRenderedPageBreak/>
        <w:t>附件2</w:t>
      </w:r>
      <w:bookmarkEnd w:id="9"/>
      <w:bookmarkEnd w:id="10"/>
      <w:bookmarkEnd w:id="11"/>
      <w:bookmarkEnd w:id="12"/>
    </w:p>
    <w:p w:rsidR="000507F1" w:rsidRDefault="000507F1" w:rsidP="000507F1">
      <w:pPr>
        <w:spacing w:line="276" w:lineRule="auto"/>
        <w:jc w:val="center"/>
        <w:rPr>
          <w:rFonts w:hint="eastAsia"/>
          <w:b/>
          <w:color w:val="000000"/>
          <w:sz w:val="28"/>
          <w:szCs w:val="28"/>
        </w:rPr>
      </w:pPr>
      <w:r>
        <w:rPr>
          <w:rFonts w:hint="eastAsia"/>
          <w:b/>
          <w:color w:val="000000"/>
          <w:sz w:val="28"/>
          <w:szCs w:val="28"/>
        </w:rPr>
        <w:t>谈判申请表</w:t>
      </w:r>
    </w:p>
    <w:p w:rsidR="000507F1" w:rsidRDefault="000507F1" w:rsidP="000507F1">
      <w:pPr>
        <w:spacing w:line="276" w:lineRule="auto"/>
        <w:jc w:val="right"/>
        <w:rPr>
          <w:rFonts w:ascii="宋体"/>
          <w:b/>
          <w:color w:val="000000"/>
          <w:sz w:val="18"/>
          <w:szCs w:val="18"/>
        </w:rPr>
      </w:pPr>
      <w:r>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0507F1" w:rsidTr="000507F1">
        <w:trPr>
          <w:trHeight w:val="567"/>
          <w:jc w:val="center"/>
        </w:trPr>
        <w:tc>
          <w:tcPr>
            <w:tcW w:w="1728" w:type="dxa"/>
            <w:tcBorders>
              <w:top w:val="double" w:sz="4" w:space="0" w:color="auto"/>
              <w:left w:val="double" w:sz="4"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申请单位</w:t>
            </w:r>
          </w:p>
        </w:tc>
        <w:tc>
          <w:tcPr>
            <w:tcW w:w="7169" w:type="dxa"/>
            <w:gridSpan w:val="3"/>
            <w:tcBorders>
              <w:top w:val="double" w:sz="4" w:space="0" w:color="auto"/>
              <w:left w:val="single" w:sz="6" w:space="0" w:color="auto"/>
              <w:bottom w:val="single" w:sz="6" w:space="0" w:color="auto"/>
              <w:right w:val="double" w:sz="4" w:space="0" w:color="auto"/>
            </w:tcBorders>
            <w:vAlign w:val="center"/>
          </w:tcPr>
          <w:p w:rsidR="000507F1" w:rsidRDefault="000507F1">
            <w:pPr>
              <w:spacing w:line="360" w:lineRule="auto"/>
              <w:jc w:val="center"/>
              <w:rPr>
                <w:rFonts w:ascii="宋体" w:hAnsi="宋体" w:cs="宋体"/>
                <w:szCs w:val="21"/>
              </w:rPr>
            </w:pPr>
          </w:p>
        </w:tc>
      </w:tr>
      <w:tr w:rsidR="000507F1" w:rsidTr="000507F1">
        <w:trPr>
          <w:trHeight w:val="567"/>
          <w:jc w:val="center"/>
        </w:trPr>
        <w:tc>
          <w:tcPr>
            <w:tcW w:w="1728" w:type="dxa"/>
            <w:tcBorders>
              <w:top w:val="single" w:sz="6" w:space="0" w:color="auto"/>
              <w:left w:val="double" w:sz="4"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谈判项目名称</w:t>
            </w:r>
          </w:p>
        </w:tc>
        <w:tc>
          <w:tcPr>
            <w:tcW w:w="7169" w:type="dxa"/>
            <w:gridSpan w:val="3"/>
            <w:tcBorders>
              <w:top w:val="single" w:sz="6" w:space="0" w:color="auto"/>
              <w:left w:val="single" w:sz="6" w:space="0" w:color="auto"/>
              <w:bottom w:val="single" w:sz="6" w:space="0" w:color="auto"/>
              <w:right w:val="double" w:sz="4" w:space="0" w:color="auto"/>
            </w:tcBorders>
            <w:vAlign w:val="center"/>
          </w:tcPr>
          <w:p w:rsidR="000507F1" w:rsidRDefault="000507F1">
            <w:pPr>
              <w:spacing w:line="360" w:lineRule="auto"/>
              <w:jc w:val="center"/>
              <w:rPr>
                <w:rFonts w:ascii="宋体" w:hAnsi="宋体" w:cs="宋体"/>
                <w:szCs w:val="21"/>
              </w:rPr>
            </w:pPr>
          </w:p>
        </w:tc>
      </w:tr>
      <w:tr w:rsidR="000507F1" w:rsidTr="000507F1">
        <w:trPr>
          <w:trHeight w:val="567"/>
          <w:jc w:val="center"/>
        </w:trPr>
        <w:tc>
          <w:tcPr>
            <w:tcW w:w="1728" w:type="dxa"/>
            <w:tcBorders>
              <w:top w:val="single" w:sz="6" w:space="0" w:color="auto"/>
              <w:left w:val="double" w:sz="4"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联系人</w:t>
            </w:r>
          </w:p>
        </w:tc>
        <w:tc>
          <w:tcPr>
            <w:tcW w:w="3483" w:type="dxa"/>
            <w:tcBorders>
              <w:top w:val="single" w:sz="6" w:space="0" w:color="auto"/>
              <w:left w:val="single" w:sz="6" w:space="0" w:color="auto"/>
              <w:bottom w:val="single" w:sz="6" w:space="0" w:color="auto"/>
              <w:right w:val="single" w:sz="6" w:space="0" w:color="auto"/>
            </w:tcBorders>
            <w:vAlign w:val="center"/>
          </w:tcPr>
          <w:p w:rsidR="000507F1" w:rsidRDefault="000507F1">
            <w:pPr>
              <w:spacing w:line="360" w:lineRule="auto"/>
              <w:jc w:val="center"/>
              <w:rPr>
                <w:rFonts w:ascii="宋体" w:hAnsi="宋体" w:cs="宋体"/>
                <w:szCs w:val="21"/>
              </w:rPr>
            </w:pPr>
          </w:p>
        </w:tc>
        <w:tc>
          <w:tcPr>
            <w:tcW w:w="1296" w:type="dxa"/>
            <w:tcBorders>
              <w:top w:val="single" w:sz="6" w:space="0" w:color="auto"/>
              <w:left w:val="single" w:sz="6"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谈判编号</w:t>
            </w:r>
          </w:p>
        </w:tc>
        <w:tc>
          <w:tcPr>
            <w:tcW w:w="2390" w:type="dxa"/>
            <w:tcBorders>
              <w:top w:val="single" w:sz="6" w:space="0" w:color="auto"/>
              <w:left w:val="single" w:sz="6" w:space="0" w:color="auto"/>
              <w:bottom w:val="single" w:sz="6" w:space="0" w:color="auto"/>
              <w:right w:val="double" w:sz="4" w:space="0" w:color="auto"/>
            </w:tcBorders>
            <w:vAlign w:val="center"/>
          </w:tcPr>
          <w:p w:rsidR="000507F1" w:rsidRDefault="000507F1">
            <w:pPr>
              <w:spacing w:line="360" w:lineRule="auto"/>
              <w:jc w:val="center"/>
              <w:rPr>
                <w:rFonts w:ascii="宋体" w:hAnsi="宋体" w:cs="宋体"/>
                <w:szCs w:val="21"/>
              </w:rPr>
            </w:pPr>
          </w:p>
        </w:tc>
      </w:tr>
      <w:tr w:rsidR="000507F1" w:rsidTr="000507F1">
        <w:trPr>
          <w:trHeight w:val="567"/>
          <w:jc w:val="center"/>
        </w:trPr>
        <w:tc>
          <w:tcPr>
            <w:tcW w:w="1728" w:type="dxa"/>
            <w:tcBorders>
              <w:top w:val="single" w:sz="6" w:space="0" w:color="auto"/>
              <w:left w:val="double" w:sz="4"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联系电话</w:t>
            </w:r>
          </w:p>
        </w:tc>
        <w:tc>
          <w:tcPr>
            <w:tcW w:w="3483" w:type="dxa"/>
            <w:tcBorders>
              <w:top w:val="single" w:sz="6" w:space="0" w:color="auto"/>
              <w:left w:val="single" w:sz="6" w:space="0" w:color="auto"/>
              <w:bottom w:val="single" w:sz="6" w:space="0" w:color="auto"/>
              <w:right w:val="single" w:sz="6" w:space="0" w:color="auto"/>
            </w:tcBorders>
            <w:vAlign w:val="center"/>
          </w:tcPr>
          <w:p w:rsidR="000507F1" w:rsidRDefault="000507F1">
            <w:pPr>
              <w:spacing w:line="360" w:lineRule="auto"/>
              <w:jc w:val="center"/>
              <w:rPr>
                <w:rFonts w:ascii="宋体" w:hAnsi="宋体" w:cs="宋体"/>
                <w:szCs w:val="21"/>
              </w:rPr>
            </w:pPr>
          </w:p>
        </w:tc>
        <w:tc>
          <w:tcPr>
            <w:tcW w:w="1296" w:type="dxa"/>
            <w:tcBorders>
              <w:top w:val="single" w:sz="6" w:space="0" w:color="auto"/>
              <w:left w:val="single" w:sz="6"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投标内容</w:t>
            </w:r>
          </w:p>
        </w:tc>
        <w:tc>
          <w:tcPr>
            <w:tcW w:w="2390" w:type="dxa"/>
            <w:tcBorders>
              <w:top w:val="single" w:sz="6" w:space="0" w:color="auto"/>
              <w:left w:val="single" w:sz="6" w:space="0" w:color="auto"/>
              <w:bottom w:val="single" w:sz="6" w:space="0" w:color="auto"/>
              <w:right w:val="double" w:sz="4" w:space="0" w:color="auto"/>
            </w:tcBorders>
            <w:vAlign w:val="center"/>
          </w:tcPr>
          <w:p w:rsidR="000507F1" w:rsidRDefault="000507F1">
            <w:pPr>
              <w:spacing w:line="360" w:lineRule="auto"/>
              <w:jc w:val="center"/>
              <w:rPr>
                <w:rFonts w:ascii="宋体" w:hAnsi="宋体" w:cs="宋体"/>
                <w:szCs w:val="21"/>
              </w:rPr>
            </w:pPr>
          </w:p>
        </w:tc>
      </w:tr>
      <w:tr w:rsidR="000507F1" w:rsidTr="000507F1">
        <w:trPr>
          <w:trHeight w:val="567"/>
          <w:jc w:val="center"/>
        </w:trPr>
        <w:tc>
          <w:tcPr>
            <w:tcW w:w="1728" w:type="dxa"/>
            <w:tcBorders>
              <w:top w:val="single" w:sz="6" w:space="0" w:color="auto"/>
              <w:left w:val="double" w:sz="4"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传真电话</w:t>
            </w:r>
          </w:p>
        </w:tc>
        <w:tc>
          <w:tcPr>
            <w:tcW w:w="3483" w:type="dxa"/>
            <w:tcBorders>
              <w:top w:val="single" w:sz="6" w:space="0" w:color="auto"/>
              <w:left w:val="single" w:sz="6" w:space="0" w:color="auto"/>
              <w:bottom w:val="single" w:sz="6" w:space="0" w:color="auto"/>
              <w:right w:val="single" w:sz="6" w:space="0" w:color="auto"/>
            </w:tcBorders>
            <w:vAlign w:val="center"/>
          </w:tcPr>
          <w:p w:rsidR="000507F1" w:rsidRDefault="000507F1">
            <w:pPr>
              <w:spacing w:line="360" w:lineRule="auto"/>
              <w:jc w:val="center"/>
              <w:rPr>
                <w:rFonts w:ascii="宋体" w:hAnsi="宋体" w:cs="宋体"/>
                <w:b/>
                <w:szCs w:val="21"/>
              </w:rPr>
            </w:pPr>
          </w:p>
        </w:tc>
        <w:tc>
          <w:tcPr>
            <w:tcW w:w="1296" w:type="dxa"/>
            <w:tcBorders>
              <w:top w:val="single" w:sz="6" w:space="0" w:color="auto"/>
              <w:left w:val="single" w:sz="6"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390" w:type="dxa"/>
            <w:tcBorders>
              <w:top w:val="single" w:sz="6" w:space="0" w:color="auto"/>
              <w:left w:val="single" w:sz="6" w:space="0" w:color="auto"/>
              <w:bottom w:val="single" w:sz="6" w:space="0" w:color="auto"/>
              <w:right w:val="double" w:sz="4" w:space="0" w:color="auto"/>
            </w:tcBorders>
            <w:vAlign w:val="center"/>
          </w:tcPr>
          <w:p w:rsidR="000507F1" w:rsidRDefault="000507F1">
            <w:pPr>
              <w:spacing w:line="360" w:lineRule="auto"/>
              <w:jc w:val="center"/>
              <w:rPr>
                <w:rFonts w:ascii="宋体" w:hAnsi="宋体" w:cs="宋体"/>
                <w:szCs w:val="21"/>
              </w:rPr>
            </w:pPr>
          </w:p>
        </w:tc>
      </w:tr>
      <w:tr w:rsidR="000507F1" w:rsidTr="000507F1">
        <w:trPr>
          <w:trHeight w:val="567"/>
          <w:jc w:val="center"/>
        </w:trPr>
        <w:tc>
          <w:tcPr>
            <w:tcW w:w="1728" w:type="dxa"/>
            <w:tcBorders>
              <w:top w:val="single" w:sz="6" w:space="0" w:color="auto"/>
              <w:left w:val="double" w:sz="4"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注册资金</w:t>
            </w:r>
          </w:p>
        </w:tc>
        <w:tc>
          <w:tcPr>
            <w:tcW w:w="3483" w:type="dxa"/>
            <w:tcBorders>
              <w:top w:val="single" w:sz="6" w:space="0" w:color="auto"/>
              <w:left w:val="single" w:sz="6" w:space="0" w:color="auto"/>
              <w:bottom w:val="single" w:sz="6" w:space="0" w:color="auto"/>
              <w:right w:val="single" w:sz="6" w:space="0" w:color="auto"/>
            </w:tcBorders>
            <w:vAlign w:val="center"/>
          </w:tcPr>
          <w:p w:rsidR="000507F1" w:rsidRDefault="000507F1">
            <w:pPr>
              <w:spacing w:line="360" w:lineRule="auto"/>
              <w:jc w:val="center"/>
              <w:rPr>
                <w:rFonts w:ascii="宋体" w:hAnsi="宋体" w:cs="宋体"/>
                <w:b/>
                <w:szCs w:val="21"/>
              </w:rPr>
            </w:pPr>
          </w:p>
        </w:tc>
        <w:tc>
          <w:tcPr>
            <w:tcW w:w="1296" w:type="dxa"/>
            <w:tcBorders>
              <w:top w:val="single" w:sz="6" w:space="0" w:color="auto"/>
              <w:left w:val="single" w:sz="6"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代理生产厂（如有）</w:t>
            </w:r>
          </w:p>
        </w:tc>
        <w:tc>
          <w:tcPr>
            <w:tcW w:w="2390" w:type="dxa"/>
            <w:tcBorders>
              <w:top w:val="single" w:sz="6" w:space="0" w:color="auto"/>
              <w:left w:val="single" w:sz="6" w:space="0" w:color="auto"/>
              <w:bottom w:val="single" w:sz="6" w:space="0" w:color="auto"/>
              <w:right w:val="double" w:sz="4" w:space="0" w:color="auto"/>
            </w:tcBorders>
            <w:vAlign w:val="center"/>
          </w:tcPr>
          <w:p w:rsidR="000507F1" w:rsidRDefault="000507F1">
            <w:pPr>
              <w:spacing w:line="360" w:lineRule="auto"/>
              <w:jc w:val="center"/>
              <w:rPr>
                <w:rFonts w:ascii="宋体" w:hAnsi="宋体" w:cs="宋体"/>
                <w:szCs w:val="21"/>
              </w:rPr>
            </w:pPr>
          </w:p>
        </w:tc>
      </w:tr>
      <w:tr w:rsidR="000507F1" w:rsidTr="000507F1">
        <w:trPr>
          <w:trHeight w:val="567"/>
          <w:jc w:val="center"/>
        </w:trPr>
        <w:tc>
          <w:tcPr>
            <w:tcW w:w="1728" w:type="dxa"/>
            <w:tcBorders>
              <w:top w:val="single" w:sz="4" w:space="0" w:color="auto"/>
              <w:left w:val="double" w:sz="4" w:space="0" w:color="auto"/>
              <w:bottom w:val="single" w:sz="6" w:space="0" w:color="auto"/>
              <w:right w:val="single" w:sz="6" w:space="0" w:color="auto"/>
            </w:tcBorders>
            <w:vAlign w:val="center"/>
            <w:hideMark/>
          </w:tcPr>
          <w:p w:rsidR="000507F1" w:rsidRDefault="000507F1">
            <w:pPr>
              <w:spacing w:line="360" w:lineRule="auto"/>
              <w:jc w:val="center"/>
              <w:rPr>
                <w:rFonts w:ascii="宋体" w:hAnsi="宋体" w:cs="宋体"/>
                <w:b/>
                <w:szCs w:val="21"/>
              </w:rPr>
            </w:pPr>
            <w:r>
              <w:rPr>
                <w:rFonts w:ascii="宋体" w:hAnsi="宋体" w:cs="宋体" w:hint="eastAsia"/>
                <w:b/>
                <w:szCs w:val="21"/>
              </w:rPr>
              <w:t>单位地址</w:t>
            </w:r>
          </w:p>
        </w:tc>
        <w:tc>
          <w:tcPr>
            <w:tcW w:w="7169" w:type="dxa"/>
            <w:gridSpan w:val="3"/>
            <w:tcBorders>
              <w:top w:val="single" w:sz="6" w:space="0" w:color="auto"/>
              <w:left w:val="single" w:sz="6" w:space="0" w:color="auto"/>
              <w:bottom w:val="single" w:sz="6" w:space="0" w:color="auto"/>
              <w:right w:val="double" w:sz="4" w:space="0" w:color="auto"/>
            </w:tcBorders>
            <w:vAlign w:val="center"/>
          </w:tcPr>
          <w:p w:rsidR="000507F1" w:rsidRDefault="000507F1">
            <w:pPr>
              <w:spacing w:line="360" w:lineRule="auto"/>
              <w:jc w:val="center"/>
              <w:rPr>
                <w:rFonts w:ascii="宋体" w:hAnsi="宋体" w:cs="宋体"/>
                <w:szCs w:val="21"/>
              </w:rPr>
            </w:pPr>
          </w:p>
        </w:tc>
      </w:tr>
      <w:tr w:rsidR="000507F1" w:rsidTr="000507F1">
        <w:trPr>
          <w:jc w:val="center"/>
        </w:trPr>
        <w:tc>
          <w:tcPr>
            <w:tcW w:w="8897" w:type="dxa"/>
            <w:gridSpan w:val="4"/>
            <w:tcBorders>
              <w:top w:val="single" w:sz="6" w:space="0" w:color="auto"/>
              <w:left w:val="double" w:sz="4" w:space="0" w:color="auto"/>
              <w:bottom w:val="double" w:sz="4" w:space="0" w:color="auto"/>
              <w:right w:val="double" w:sz="4" w:space="0" w:color="auto"/>
            </w:tcBorders>
          </w:tcPr>
          <w:p w:rsidR="000507F1" w:rsidRDefault="000507F1">
            <w:pPr>
              <w:spacing w:line="360" w:lineRule="auto"/>
              <w:ind w:firstLineChars="98" w:firstLine="207"/>
              <w:rPr>
                <w:rFonts w:ascii="宋体" w:hAnsi="宋体" w:cs="宋体"/>
                <w:b/>
                <w:szCs w:val="21"/>
              </w:rPr>
            </w:pPr>
            <w:r>
              <w:rPr>
                <w:rFonts w:ascii="宋体" w:hAnsi="宋体" w:cs="宋体" w:hint="eastAsia"/>
                <w:b/>
                <w:szCs w:val="21"/>
              </w:rPr>
              <w:t>申请投标范围：（注明拟投标包件号）</w:t>
            </w:r>
          </w:p>
          <w:p w:rsidR="000507F1" w:rsidRDefault="000507F1">
            <w:pPr>
              <w:spacing w:line="360" w:lineRule="auto"/>
              <w:rPr>
                <w:rFonts w:ascii="宋体" w:hAnsi="宋体" w:cs="宋体" w:hint="eastAsia"/>
                <w:szCs w:val="21"/>
              </w:rPr>
            </w:pPr>
          </w:p>
          <w:p w:rsidR="000507F1" w:rsidRDefault="000507F1">
            <w:pPr>
              <w:spacing w:line="360" w:lineRule="auto"/>
              <w:jc w:val="center"/>
              <w:rPr>
                <w:rFonts w:ascii="宋体" w:hAnsi="宋体" w:cs="宋体" w:hint="eastAsia"/>
                <w:szCs w:val="21"/>
              </w:rPr>
            </w:pPr>
          </w:p>
          <w:p w:rsidR="000507F1" w:rsidRDefault="000507F1">
            <w:pPr>
              <w:spacing w:line="360" w:lineRule="auto"/>
              <w:rPr>
                <w:rFonts w:ascii="宋体" w:hAnsi="宋体" w:cs="宋体" w:hint="eastAsia"/>
                <w:b/>
                <w:szCs w:val="21"/>
              </w:rPr>
            </w:pPr>
            <w:r>
              <w:rPr>
                <w:rFonts w:ascii="宋体" w:hAnsi="宋体" w:cs="宋体" w:hint="eastAsia"/>
                <w:b/>
                <w:szCs w:val="21"/>
              </w:rPr>
              <w:t>单位开票信息：</w:t>
            </w:r>
          </w:p>
          <w:p w:rsidR="000507F1" w:rsidRDefault="000507F1">
            <w:pPr>
              <w:spacing w:line="360" w:lineRule="auto"/>
              <w:rPr>
                <w:rFonts w:ascii="宋体" w:hAnsi="宋体" w:cs="宋体" w:hint="eastAsia"/>
                <w:b/>
                <w:szCs w:val="21"/>
              </w:rPr>
            </w:pPr>
            <w:r>
              <w:rPr>
                <w:rFonts w:ascii="宋体" w:hAnsi="宋体" w:cs="宋体" w:hint="eastAsia"/>
                <w:b/>
                <w:szCs w:val="21"/>
              </w:rPr>
              <w:t>名        称：</w:t>
            </w:r>
          </w:p>
          <w:p w:rsidR="000507F1" w:rsidRDefault="000507F1">
            <w:pPr>
              <w:spacing w:line="360" w:lineRule="auto"/>
              <w:rPr>
                <w:rFonts w:ascii="宋体" w:hAnsi="宋体" w:cs="宋体" w:hint="eastAsia"/>
                <w:b/>
                <w:szCs w:val="21"/>
              </w:rPr>
            </w:pPr>
            <w:r>
              <w:rPr>
                <w:rFonts w:ascii="宋体" w:hAnsi="宋体" w:cs="宋体" w:hint="eastAsia"/>
                <w:b/>
                <w:szCs w:val="21"/>
              </w:rPr>
              <w:t>纳税人识别号：</w:t>
            </w:r>
          </w:p>
          <w:p w:rsidR="000507F1" w:rsidRDefault="000507F1">
            <w:pPr>
              <w:spacing w:line="360" w:lineRule="auto"/>
              <w:rPr>
                <w:rFonts w:ascii="宋体" w:hAnsi="宋体" w:cs="宋体" w:hint="eastAsia"/>
                <w:b/>
                <w:szCs w:val="21"/>
              </w:rPr>
            </w:pPr>
            <w:r>
              <w:rPr>
                <w:rFonts w:ascii="宋体" w:hAnsi="宋体" w:cs="宋体" w:hint="eastAsia"/>
                <w:b/>
                <w:szCs w:val="21"/>
              </w:rPr>
              <w:t>地址、  电话：</w:t>
            </w:r>
          </w:p>
          <w:p w:rsidR="000507F1" w:rsidRDefault="000507F1">
            <w:pPr>
              <w:spacing w:line="360" w:lineRule="auto"/>
              <w:rPr>
                <w:rFonts w:ascii="宋体" w:hAnsi="宋体" w:cs="宋体" w:hint="eastAsia"/>
                <w:b/>
                <w:szCs w:val="21"/>
              </w:rPr>
            </w:pPr>
            <w:r>
              <w:rPr>
                <w:rFonts w:ascii="宋体" w:hAnsi="宋体" w:cs="宋体" w:hint="eastAsia"/>
                <w:b/>
                <w:szCs w:val="21"/>
              </w:rPr>
              <w:t>开户行及账号：</w:t>
            </w:r>
          </w:p>
          <w:p w:rsidR="000507F1" w:rsidRDefault="000507F1">
            <w:pPr>
              <w:spacing w:line="360" w:lineRule="auto"/>
              <w:jc w:val="left"/>
              <w:rPr>
                <w:rFonts w:ascii="宋体" w:hAnsi="宋体" w:cs="宋体" w:hint="eastAsia"/>
                <w:b/>
                <w:szCs w:val="21"/>
              </w:rPr>
            </w:pPr>
            <w:r>
              <w:rPr>
                <w:rFonts w:ascii="宋体" w:hAnsi="宋体" w:cs="宋体" w:hint="eastAsia"/>
                <w:b/>
                <w:szCs w:val="21"/>
              </w:rPr>
              <w:t>发票邮寄地址：</w:t>
            </w:r>
          </w:p>
          <w:p w:rsidR="000507F1" w:rsidRDefault="000507F1">
            <w:pPr>
              <w:spacing w:line="360" w:lineRule="auto"/>
              <w:ind w:firstLineChars="2319" w:firstLine="4889"/>
              <w:rPr>
                <w:rFonts w:ascii="宋体" w:hAnsi="宋体" w:cs="宋体" w:hint="eastAsia"/>
                <w:b/>
                <w:szCs w:val="21"/>
              </w:rPr>
            </w:pPr>
          </w:p>
          <w:p w:rsidR="000507F1" w:rsidRDefault="000507F1">
            <w:pPr>
              <w:spacing w:line="360" w:lineRule="auto"/>
              <w:ind w:firstLineChars="2601" w:firstLine="5483"/>
              <w:rPr>
                <w:rFonts w:ascii="宋体" w:hAnsi="宋体" w:cs="宋体" w:hint="eastAsia"/>
                <w:b/>
                <w:szCs w:val="21"/>
              </w:rPr>
            </w:pPr>
            <w:r>
              <w:rPr>
                <w:rFonts w:ascii="宋体" w:hAnsi="宋体" w:cs="宋体" w:hint="eastAsia"/>
                <w:b/>
                <w:szCs w:val="21"/>
              </w:rPr>
              <w:t>申请单位（章）</w:t>
            </w:r>
          </w:p>
          <w:p w:rsidR="000507F1" w:rsidRDefault="000507F1">
            <w:pPr>
              <w:spacing w:line="360" w:lineRule="auto"/>
              <w:ind w:firstLineChars="2695" w:firstLine="5682"/>
              <w:rPr>
                <w:rFonts w:ascii="宋体" w:hAnsi="宋体" w:cs="宋体" w:hint="eastAsia"/>
                <w:b/>
                <w:szCs w:val="21"/>
              </w:rPr>
            </w:pPr>
            <w:r>
              <w:rPr>
                <w:rFonts w:ascii="宋体" w:hAnsi="宋体" w:cs="宋体" w:hint="eastAsia"/>
                <w:b/>
                <w:szCs w:val="21"/>
              </w:rPr>
              <w:t>年  月  日</w:t>
            </w:r>
          </w:p>
          <w:p w:rsidR="000507F1" w:rsidRDefault="000507F1">
            <w:pPr>
              <w:spacing w:line="360" w:lineRule="auto"/>
              <w:ind w:firstLineChars="2695" w:firstLine="5682"/>
              <w:rPr>
                <w:rFonts w:ascii="宋体" w:hAnsi="宋体" w:cs="宋体"/>
                <w:b/>
                <w:szCs w:val="21"/>
              </w:rPr>
            </w:pPr>
          </w:p>
        </w:tc>
      </w:tr>
    </w:tbl>
    <w:p w:rsidR="00707D32" w:rsidRDefault="000507F1"/>
    <w:sectPr w:rsidR="00707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268F8"/>
    <w:multiLevelType w:val="multilevel"/>
    <w:tmpl w:val="7C3268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E4"/>
    <w:rsid w:val="000507F1"/>
    <w:rsid w:val="002165D5"/>
    <w:rsid w:val="006145E4"/>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7F1"/>
    <w:pPr>
      <w:widowControl w:val="0"/>
      <w:jc w:val="both"/>
    </w:pPr>
    <w:rPr>
      <w:rFonts w:ascii="Calibri" w:eastAsia="宋体" w:hAnsi="Calibri" w:cs="Times New Roman"/>
      <w:szCs w:val="24"/>
    </w:rPr>
  </w:style>
  <w:style w:type="paragraph" w:styleId="2">
    <w:name w:val="heading 2"/>
    <w:basedOn w:val="a"/>
    <w:next w:val="a"/>
    <w:link w:val="2Char"/>
    <w:semiHidden/>
    <w:unhideWhenUsed/>
    <w:qFormat/>
    <w:rsid w:val="000507F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qFormat/>
    <w:rsid w:val="000507F1"/>
    <w:rPr>
      <w:rFonts w:ascii="Calibri" w:eastAsia="宋体" w:hAnsi="Calibri" w:cs="Times New Roman"/>
      <w:b/>
      <w:bCs/>
      <w:kern w:val="0"/>
      <w:sz w:val="32"/>
      <w:szCs w:val="32"/>
    </w:rPr>
  </w:style>
  <w:style w:type="character" w:styleId="a3">
    <w:name w:val="Hyperlink"/>
    <w:basedOn w:val="a0"/>
    <w:uiPriority w:val="99"/>
    <w:semiHidden/>
    <w:unhideWhenUsed/>
    <w:qFormat/>
    <w:rsid w:val="000507F1"/>
    <w:rPr>
      <w:color w:val="0000FF" w:themeColor="hyperlink"/>
      <w:u w:val="single"/>
    </w:rPr>
  </w:style>
  <w:style w:type="paragraph" w:styleId="a4">
    <w:name w:val="Normal (Web)"/>
    <w:basedOn w:val="a"/>
    <w:semiHidden/>
    <w:unhideWhenUsed/>
    <w:qFormat/>
    <w:rsid w:val="000507F1"/>
    <w:pPr>
      <w:widowControl/>
      <w:spacing w:before="100" w:beforeAutospacing="1" w:after="100" w:afterAutospacing="1"/>
      <w:jc w:val="left"/>
    </w:pPr>
    <w:rPr>
      <w:rFonts w:ascii="宋体" w:hAnsi="宋体" w:cs="宋体"/>
      <w:kern w:val="0"/>
      <w:sz w:val="24"/>
    </w:rPr>
  </w:style>
  <w:style w:type="character" w:customStyle="1" w:styleId="Char">
    <w:name w:val="正文 含缩进 Char"/>
    <w:link w:val="a5"/>
    <w:qFormat/>
    <w:locked/>
    <w:rsid w:val="000507F1"/>
    <w:rPr>
      <w:rFonts w:ascii="Calibri" w:eastAsia="宋体" w:hAnsi="Calibri" w:cs="Times New Roman"/>
      <w:kern w:val="0"/>
      <w:sz w:val="20"/>
      <w:szCs w:val="20"/>
    </w:rPr>
  </w:style>
  <w:style w:type="paragraph" w:customStyle="1" w:styleId="a5">
    <w:name w:val="正文 含缩进"/>
    <w:basedOn w:val="a"/>
    <w:link w:val="Char"/>
    <w:qFormat/>
    <w:rsid w:val="000507F1"/>
    <w:pPr>
      <w:ind w:firstLineChars="202" w:firstLine="424"/>
      <w:jc w:val="left"/>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7F1"/>
    <w:pPr>
      <w:widowControl w:val="0"/>
      <w:jc w:val="both"/>
    </w:pPr>
    <w:rPr>
      <w:rFonts w:ascii="Calibri" w:eastAsia="宋体" w:hAnsi="Calibri" w:cs="Times New Roman"/>
      <w:szCs w:val="24"/>
    </w:rPr>
  </w:style>
  <w:style w:type="paragraph" w:styleId="2">
    <w:name w:val="heading 2"/>
    <w:basedOn w:val="a"/>
    <w:next w:val="a"/>
    <w:link w:val="2Char"/>
    <w:semiHidden/>
    <w:unhideWhenUsed/>
    <w:qFormat/>
    <w:rsid w:val="000507F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qFormat/>
    <w:rsid w:val="000507F1"/>
    <w:rPr>
      <w:rFonts w:ascii="Calibri" w:eastAsia="宋体" w:hAnsi="Calibri" w:cs="Times New Roman"/>
      <w:b/>
      <w:bCs/>
      <w:kern w:val="0"/>
      <w:sz w:val="32"/>
      <w:szCs w:val="32"/>
    </w:rPr>
  </w:style>
  <w:style w:type="character" w:styleId="a3">
    <w:name w:val="Hyperlink"/>
    <w:basedOn w:val="a0"/>
    <w:uiPriority w:val="99"/>
    <w:semiHidden/>
    <w:unhideWhenUsed/>
    <w:qFormat/>
    <w:rsid w:val="000507F1"/>
    <w:rPr>
      <w:color w:val="0000FF" w:themeColor="hyperlink"/>
      <w:u w:val="single"/>
    </w:rPr>
  </w:style>
  <w:style w:type="paragraph" w:styleId="a4">
    <w:name w:val="Normal (Web)"/>
    <w:basedOn w:val="a"/>
    <w:semiHidden/>
    <w:unhideWhenUsed/>
    <w:qFormat/>
    <w:rsid w:val="000507F1"/>
    <w:pPr>
      <w:widowControl/>
      <w:spacing w:before="100" w:beforeAutospacing="1" w:after="100" w:afterAutospacing="1"/>
      <w:jc w:val="left"/>
    </w:pPr>
    <w:rPr>
      <w:rFonts w:ascii="宋体" w:hAnsi="宋体" w:cs="宋体"/>
      <w:kern w:val="0"/>
      <w:sz w:val="24"/>
    </w:rPr>
  </w:style>
  <w:style w:type="character" w:customStyle="1" w:styleId="Char">
    <w:name w:val="正文 含缩进 Char"/>
    <w:link w:val="a5"/>
    <w:qFormat/>
    <w:locked/>
    <w:rsid w:val="000507F1"/>
    <w:rPr>
      <w:rFonts w:ascii="Calibri" w:eastAsia="宋体" w:hAnsi="Calibri" w:cs="Times New Roman"/>
      <w:kern w:val="0"/>
      <w:sz w:val="20"/>
      <w:szCs w:val="20"/>
    </w:rPr>
  </w:style>
  <w:style w:type="paragraph" w:customStyle="1" w:styleId="a5">
    <w:name w:val="正文 含缩进"/>
    <w:basedOn w:val="a"/>
    <w:link w:val="Char"/>
    <w:qFormat/>
    <w:rsid w:val="000507F1"/>
    <w:pPr>
      <w:ind w:firstLineChars="202" w:firstLine="424"/>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2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bjqc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2021-08-04T02:20:00Z</dcterms:created>
  <dcterms:modified xsi:type="dcterms:W3CDTF">2021-08-04T02:20:00Z</dcterms:modified>
</cp:coreProperties>
</file>